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40" w:firstLineChars="200"/>
        <w:rPr>
          <w:rFonts w:hint="eastAsia" w:ascii="方正仿宋_GBK"/>
        </w:rPr>
      </w:pPr>
      <w:r>
        <w:rPr>
          <w:rFonts w:hint="eastAsia" w:ascii="方正仿宋_GBK"/>
        </w:rPr>
        <mc:AlternateContent>
          <mc:Choice Requires="wps">
            <w:drawing>
              <wp:anchor distT="0" distB="0" distL="114300" distR="114300" simplePos="0" relativeHeight="251660288" behindDoc="1" locked="0" layoutInCell="1" allowOverlap="1">
                <wp:simplePos x="0" y="0"/>
                <wp:positionH relativeFrom="margin">
                  <wp:posOffset>171450</wp:posOffset>
                </wp:positionH>
                <wp:positionV relativeFrom="margin">
                  <wp:posOffset>96520</wp:posOffset>
                </wp:positionV>
                <wp:extent cx="5415915" cy="683895"/>
                <wp:effectExtent l="0" t="0" r="0" b="0"/>
                <wp:wrapNone/>
                <wp:docPr id="4" name="文本框 4"/>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415915" cy="683895"/>
                        </a:xfrm>
                        <a:prstGeom prst="rect">
                          <a:avLst/>
                        </a:prstGeom>
                      </wps:spPr>
                      <wps:txbx>
                        <w:txbxContent>
                          <w:p>
                            <w:pPr>
                              <w:pStyle w:val="4"/>
                              <w:spacing w:before="0" w:beforeAutospacing="0" w:after="0" w:afterAutospacing="0"/>
                              <w:jc w:val="center"/>
                            </w:pPr>
                            <w:r>
                              <w:rPr>
                                <w:rFonts w:hint="eastAsia" w:ascii="方正小标宋_GBK" w:eastAsia="方正小标宋_GBK"/>
                                <w:b/>
                                <w:bCs/>
                                <w:color w:val="FF0000"/>
                                <w:spacing w:val="144"/>
                                <w:sz w:val="72"/>
                                <w:szCs w:val="72"/>
                              </w:rPr>
                              <w:t>重庆市财政局文件</w:t>
                            </w:r>
                          </w:p>
                        </w:txbxContent>
                      </wps:txbx>
                      <wps:bodyPr wrap="square" numCol="1" fromWordArt="1">
                        <a:prstTxWarp prst="textPlain">
                          <a:avLst>
                            <a:gd name="adj" fmla="val 50000"/>
                          </a:avLst>
                        </a:prstTxWarp>
                        <a:spAutoFit/>
                      </wps:bodyPr>
                    </wps:wsp>
                  </a:graphicData>
                </a:graphic>
              </wp:anchor>
            </w:drawing>
          </mc:Choice>
          <mc:Fallback>
            <w:pict>
              <v:shape id="_x0000_s1026" o:spid="_x0000_s1026" o:spt="202" type="#_x0000_t202" style="position:absolute;left:0pt;margin-left:13.5pt;margin-top:7.6pt;height:53.85pt;width:426.45pt;mso-position-horizontal-relative:margin;mso-position-vertical-relative:margin;z-index:-251656192;mso-width-relative:page;mso-height-relative:page;" filled="f" stroked="f" coordsize="21600,21600" o:gfxdata="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v2mbHYAAAACQEAAA8AAAAAAAAAAQAgAAAAIgAA&#10;AGRycy9kb3ducmV2LnhtbFBLAQIUABQAAAAIAIdO4kCKGOenCAIAANsDAAAOAAAAAAAAAAEAIAAA&#10;ACcBAABkcnMvZTJvRG9jLnhtbFBLBQYAAAAABgAGAFkBAAChBQAAAAA=&#10;" adj="10800">
                <v:fill on="f" focussize="0,0"/>
                <v:stroke on="f"/>
                <v:imagedata o:title=""/>
                <o:lock v:ext="edit" text="t" aspectratio="f"/>
                <v:textbox style="mso-fit-shape-to-text:t;">
                  <w:txbxContent>
                    <w:p>
                      <w:pPr>
                        <w:pStyle w:val="4"/>
                        <w:spacing w:before="0" w:beforeAutospacing="0" w:after="0" w:afterAutospacing="0"/>
                        <w:jc w:val="center"/>
                      </w:pPr>
                      <w:r>
                        <w:rPr>
                          <w:rFonts w:hint="eastAsia" w:ascii="方正小标宋_GBK" w:eastAsia="方正小标宋_GBK"/>
                          <w:b/>
                          <w:bCs/>
                          <w:color w:val="FF0000"/>
                          <w:spacing w:val="144"/>
                          <w:sz w:val="72"/>
                          <w:szCs w:val="72"/>
                        </w:rPr>
                        <w:t>重庆市财政局文件</w:t>
                      </w:r>
                    </w:p>
                  </w:txbxContent>
                </v:textbox>
              </v:shape>
            </w:pict>
          </mc:Fallback>
        </mc:AlternateContent>
      </w:r>
    </w:p>
    <w:p>
      <w:pPr>
        <w:spacing w:line="600" w:lineRule="exact"/>
        <w:ind w:firstLine="640" w:firstLineChars="200"/>
        <w:rPr>
          <w:rFonts w:hint="eastAsia" w:ascii="方正仿宋_GBK"/>
        </w:rPr>
      </w:pPr>
    </w:p>
    <w:p>
      <w:pPr>
        <w:spacing w:line="600" w:lineRule="exact"/>
        <w:ind w:firstLine="640" w:firstLineChars="200"/>
        <w:rPr>
          <w:rFonts w:hint="eastAsia" w:ascii="方正仿宋_GBK"/>
        </w:rPr>
      </w:pPr>
    </w:p>
    <w:p>
      <w:pPr>
        <w:spacing w:line="600" w:lineRule="exact"/>
        <w:jc w:val="center"/>
        <w:rPr>
          <w:rFonts w:hint="eastAsia" w:ascii="方正仿宋_GBK"/>
        </w:rPr>
      </w:pPr>
      <w:bookmarkStart w:id="0" w:name="字"/>
      <w:bookmarkStart w:id="1" w:name="局文号"/>
      <w:r>
        <w:rPr>
          <w:rFonts w:hint="eastAsia" w:ascii="方正仿宋_GBK"/>
        </w:rPr>
        <w:t>渝财采购</w:t>
      </w:r>
      <w:bookmarkEnd w:id="0"/>
      <w:r>
        <w:rPr>
          <w:rFonts w:hint="eastAsia" w:ascii="方正仿宋_GBK"/>
        </w:rPr>
        <w:t>〔</w:t>
      </w:r>
      <w:bookmarkStart w:id="2" w:name="年"/>
      <w:r>
        <w:rPr>
          <w:rFonts w:ascii="方正仿宋_GBK"/>
        </w:rPr>
        <w:t>2019</w:t>
      </w:r>
      <w:bookmarkEnd w:id="2"/>
      <w:r>
        <w:rPr>
          <w:rFonts w:hint="eastAsia" w:ascii="方正仿宋_GBK"/>
        </w:rPr>
        <w:t>〕</w:t>
      </w:r>
      <w:bookmarkStart w:id="3" w:name="号"/>
      <w:r>
        <w:rPr>
          <w:rFonts w:ascii="方正仿宋_GBK"/>
        </w:rPr>
        <w:t>2</w:t>
      </w:r>
      <w:bookmarkEnd w:id="3"/>
      <w:r>
        <w:rPr>
          <w:rFonts w:hint="eastAsia" w:ascii="方正仿宋_GBK"/>
        </w:rPr>
        <w:t>号</w:t>
      </w:r>
    </w:p>
    <w:bookmarkEnd w:id="1"/>
    <w:p>
      <w:pPr>
        <w:spacing w:line="600" w:lineRule="exact"/>
        <w:ind w:firstLine="640" w:firstLineChars="200"/>
        <w:rPr>
          <w:rFonts w:hint="eastAsia" w:ascii="方正仿宋_GBK"/>
        </w:rPr>
      </w:pPr>
    </w:p>
    <w:p>
      <w:pPr>
        <w:spacing w:line="600" w:lineRule="exact"/>
        <w:ind w:firstLine="640" w:firstLineChars="200"/>
        <w:rPr>
          <w:rFonts w:hint="eastAsia" w:ascii="方正小标宋_GBK" w:eastAsia="方正小标宋_GBK"/>
          <w:sz w:val="44"/>
          <w:szCs w:val="44"/>
        </w:rPr>
      </w:pPr>
      <w:r>
        <w:rPr>
          <w:rFonts w:hint="eastAsia" w:ascii="方正仿宋_GBK"/>
        </w:rPr>
        <mc:AlternateContent>
          <mc:Choice Requires="wps">
            <w:drawing>
              <wp:anchor distT="0" distB="0" distL="114300" distR="114300" simplePos="0" relativeHeight="251659264" behindDoc="0" locked="0" layoutInCell="1" allowOverlap="1">
                <wp:simplePos x="0" y="0"/>
                <wp:positionH relativeFrom="page">
                  <wp:posOffset>943610</wp:posOffset>
                </wp:positionH>
                <wp:positionV relativeFrom="margin">
                  <wp:posOffset>1555750</wp:posOffset>
                </wp:positionV>
                <wp:extent cx="5615940" cy="0"/>
                <wp:effectExtent l="19685" t="20955" r="22225" b="17145"/>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28575">
                          <a:solidFill>
                            <a:srgbClr val="FF0000"/>
                          </a:solidFill>
                          <a:round/>
                        </a:ln>
                      </wps:spPr>
                      <wps:bodyPr/>
                    </wps:wsp>
                  </a:graphicData>
                </a:graphic>
              </wp:anchor>
            </w:drawing>
          </mc:Choice>
          <mc:Fallback>
            <w:pict>
              <v:line id="_x0000_s1026" o:spid="_x0000_s1026" o:spt="20" style="position:absolute;left:0pt;margin-left:74.3pt;margin-top:122.5pt;height:0pt;width:442.2pt;mso-position-horizontal-relative:page;mso-position-vertical-relative:margin;z-index:251659264;mso-width-relative:page;mso-height-relative:page;" filled="f" stroked="t" coordsize="21600,21600" o:gfxdata="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8ISA2AAAAAwBAAAPAAAAAAAAAAEAIAAAACIAAABk&#10;cnMvZG93bnJldi54bWxQSwECFAAUAAAACACHTuJAaFg7s80BAABdAwAADgAAAAAAAAABACAAAAAn&#10;AQAAZHJzL2Uyb0RvYy54bWxQSwUGAAAAAAYABgBZAQAAZgUAAAAA&#10;">
                <v:fill on="f" focussize="0,0"/>
                <v:stroke weight="2.25pt" color="#FF0000" joinstyle="round"/>
                <v:imagedata o:title=""/>
                <o:lock v:ext="edit" aspectratio="f"/>
              </v:line>
            </w:pict>
          </mc:Fallback>
        </mc:AlternateContent>
      </w:r>
      <w:r>
        <w:rPr>
          <w:rFonts w:hint="eastAsia" w:ascii="方正小标宋_GBK" w:eastAsia="方正小标宋_GBK"/>
          <w:sz w:val="44"/>
          <w:szCs w:val="44"/>
        </w:rPr>
        <w:t>重庆市财政局关于印发2019-2020年</w:t>
      </w: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政府集中采购目录及采购限额标准的通知</w:t>
      </w:r>
    </w:p>
    <w:p>
      <w:pPr>
        <w:spacing w:line="600" w:lineRule="exact"/>
        <w:rPr>
          <w:rFonts w:ascii="方正仿宋_GBK"/>
        </w:rPr>
      </w:pPr>
    </w:p>
    <w:p>
      <w:pPr>
        <w:spacing w:line="600" w:lineRule="exact"/>
        <w:rPr>
          <w:rFonts w:hint="eastAsia" w:ascii="方正仿宋_GBK"/>
        </w:rPr>
      </w:pPr>
      <w:r>
        <w:rPr>
          <w:rFonts w:hint="eastAsia" w:ascii="方正仿宋_GBK"/>
        </w:rPr>
        <w:t>各区县（自治县）财政局，市级各部门，各政府采购代理机构：</w:t>
      </w:r>
    </w:p>
    <w:p>
      <w:pPr>
        <w:spacing w:line="600" w:lineRule="exact"/>
        <w:ind w:firstLine="640" w:firstLineChars="200"/>
        <w:rPr>
          <w:rFonts w:hint="eastAsia" w:ascii="方正仿宋_GBK"/>
        </w:rPr>
      </w:pPr>
      <w:r>
        <w:rPr>
          <w:rFonts w:hint="eastAsia" w:ascii="方正仿宋_GBK"/>
        </w:rPr>
        <w:t>现将《重庆市2019-2020年政府集中采购目录及限额标准》印发你们，并将有关事项通知如下，请遵照执行：</w:t>
      </w:r>
    </w:p>
    <w:p>
      <w:pPr>
        <w:spacing w:line="600" w:lineRule="exact"/>
        <w:ind w:firstLine="640" w:firstLineChars="200"/>
        <w:rPr>
          <w:rFonts w:hint="eastAsia" w:ascii="方正仿宋_GBK"/>
        </w:rPr>
      </w:pPr>
      <w:r>
        <w:rPr>
          <w:rFonts w:hint="eastAsia" w:ascii="方正仿宋_GBK"/>
        </w:rPr>
        <w:t>一、按照《中华人民共和国政府采购法》规定，各级国家机关、事业单位和团体组织使用财政性资金采购依法制定的集中采购目录以内的或者采购限额标准以上的货物、工程和服务，属于政府采购范围，必须执行政府采购制度。</w:t>
      </w:r>
    </w:p>
    <w:p>
      <w:pPr>
        <w:spacing w:line="600" w:lineRule="exact"/>
        <w:ind w:firstLine="640" w:firstLineChars="200"/>
        <w:rPr>
          <w:rFonts w:hint="eastAsia" w:ascii="方正仿宋_GBK"/>
        </w:rPr>
      </w:pPr>
      <w:r>
        <w:rPr>
          <w:rFonts w:hint="eastAsia" w:ascii="方正仿宋_GBK"/>
        </w:rPr>
        <w:t>二、采购人不得将同一采购项目进行拆分、不得化整为零或以其他方式规避公开招标，但项目预算调整或经批准采用公开招标以外方式采购的除外。</w:t>
      </w:r>
    </w:p>
    <w:p>
      <w:pPr>
        <w:spacing w:line="600" w:lineRule="exact"/>
        <w:ind w:firstLine="640" w:firstLineChars="200"/>
        <w:rPr>
          <w:rFonts w:hint="eastAsia" w:ascii="方正仿宋_GBK"/>
        </w:rPr>
      </w:pPr>
      <w:r>
        <w:rPr>
          <w:rFonts w:hint="eastAsia" w:ascii="方正仿宋_GBK"/>
        </w:rPr>
        <w:t>三、政府采购应当有助于实现国家的经济和社会发展政策目标，包括扶持本国产品采购、促进中小企业发展、优先采购节能环保产品、扶持监狱企业、残疾人福利性单位等。对属于上述范围内的产品，采购人应按国家有关规定进行优先或强制采购。</w:t>
      </w:r>
    </w:p>
    <w:p>
      <w:pPr>
        <w:spacing w:line="600" w:lineRule="exact"/>
        <w:ind w:firstLine="640" w:firstLineChars="200"/>
        <w:rPr>
          <w:rFonts w:hint="eastAsia" w:ascii="方正仿宋_GBK"/>
        </w:rPr>
      </w:pPr>
      <w:r>
        <w:rPr>
          <w:rFonts w:hint="eastAsia" w:ascii="方正仿宋_GBK"/>
        </w:rPr>
        <w:t>四、为简化操作程序，新的政府集中采购目录及采购限额标准发布后，不再属于政府采购范围的采购项目，如已编制了2019年政府采购部门预算的，采购人可不调减预算，通过重庆市政府采购网上超市实施采购，参照协议供货方式付款。</w:t>
      </w:r>
    </w:p>
    <w:p>
      <w:pPr>
        <w:spacing w:line="600" w:lineRule="exact"/>
        <w:ind w:firstLine="640" w:firstLineChars="200"/>
        <w:rPr>
          <w:rFonts w:hint="eastAsia" w:ascii="方正仿宋_GBK"/>
        </w:rPr>
      </w:pPr>
      <w:r>
        <w:rPr>
          <w:rFonts w:hint="eastAsia" w:ascii="方正仿宋_GBK"/>
        </w:rPr>
        <w:t>五、各区县可参照市级标准确定本地政府集中采购目录、采购限额标准、公开招标数额标准，并报市财政局备案后在重庆市政府采购网上公布。</w:t>
      </w:r>
    </w:p>
    <w:p>
      <w:pPr>
        <w:spacing w:line="600" w:lineRule="exact"/>
        <w:ind w:firstLine="640" w:firstLineChars="200"/>
        <w:rPr>
          <w:rFonts w:ascii="方正仿宋_GBK"/>
        </w:rPr>
      </w:pPr>
    </w:p>
    <w:p>
      <w:pPr>
        <w:spacing w:line="600" w:lineRule="exact"/>
        <w:ind w:firstLine="640" w:firstLineChars="200"/>
        <w:rPr>
          <w:rFonts w:hint="eastAsia" w:ascii="方正仿宋_GBK"/>
        </w:rPr>
      </w:pPr>
      <w:r>
        <w:rPr>
          <w:rFonts w:hint="eastAsia" w:ascii="方正仿宋_GBK"/>
        </w:rPr>
        <w:t>附件：重庆市2019-2020年度市级政府集中采购目录及采购限额标准</w:t>
      </w:r>
    </w:p>
    <w:p>
      <w:pPr>
        <w:spacing w:line="600" w:lineRule="exact"/>
        <w:rPr>
          <w:rFonts w:hint="eastAsia" w:ascii="方正仿宋_GBK"/>
        </w:rPr>
      </w:pPr>
    </w:p>
    <w:p>
      <w:pPr>
        <w:spacing w:line="600" w:lineRule="exact"/>
        <w:rPr>
          <w:rFonts w:ascii="方正仿宋_GBK"/>
        </w:rPr>
      </w:pPr>
    </w:p>
    <w:p>
      <w:pPr>
        <w:spacing w:line="600" w:lineRule="exact"/>
        <w:ind w:firstLine="5385" w:firstLineChars="1683"/>
        <w:rPr>
          <w:rFonts w:ascii="方正仿宋_GBK"/>
        </w:rPr>
      </w:pPr>
      <w:r>
        <w:rPr>
          <w:rFonts w:hint="eastAsia" w:ascii="方正仿宋_GBK"/>
        </w:rPr>
        <w:t>重庆市财政局</w:t>
      </w:r>
    </w:p>
    <w:p>
      <w:pPr>
        <w:spacing w:line="600" w:lineRule="exact"/>
        <w:ind w:firstLine="5260" w:firstLineChars="1644"/>
        <w:rPr>
          <w:rFonts w:hint="eastAsia" w:ascii="方正仿宋_GBK"/>
        </w:rPr>
      </w:pPr>
      <w:r>
        <w:rPr>
          <w:rFonts w:hint="eastAsia" w:ascii="方正仿宋_GBK"/>
        </w:rPr>
        <w:t>201</w:t>
      </w:r>
      <w:r>
        <w:rPr>
          <w:rFonts w:ascii="方正仿宋_GBK"/>
        </w:rPr>
        <w:t>9</w:t>
      </w:r>
      <w:r>
        <w:rPr>
          <w:rFonts w:hint="eastAsia" w:ascii="方正仿宋_GBK"/>
        </w:rPr>
        <w:t>年</w:t>
      </w:r>
      <w:r>
        <w:rPr>
          <w:rFonts w:ascii="方正仿宋_GBK"/>
        </w:rPr>
        <w:t>3</w:t>
      </w:r>
      <w:r>
        <w:rPr>
          <w:rFonts w:hint="eastAsia" w:ascii="方正仿宋_GBK"/>
        </w:rPr>
        <w:t>月</w:t>
      </w:r>
      <w:r>
        <w:rPr>
          <w:rFonts w:ascii="方正仿宋_GBK"/>
        </w:rPr>
        <w:t>15</w:t>
      </w:r>
      <w:r>
        <w:rPr>
          <w:rFonts w:hint="eastAsia" w:ascii="方正仿宋_GBK"/>
        </w:rPr>
        <w:t>日</w:t>
      </w:r>
    </w:p>
    <w:p>
      <w:pPr>
        <w:spacing w:line="600" w:lineRule="exact"/>
        <w:rPr>
          <w:rFonts w:hint="eastAsia" w:ascii="方正黑体_GBK" w:eastAsia="方正黑体_GBK"/>
        </w:rPr>
      </w:pPr>
    </w:p>
    <w:p>
      <w:pPr>
        <w:spacing w:line="600" w:lineRule="exact"/>
        <w:rPr>
          <w:rFonts w:hint="eastAsia" w:ascii="方正黑体_GBK" w:eastAsia="方正黑体_GBK"/>
        </w:rPr>
      </w:pPr>
    </w:p>
    <w:p>
      <w:pPr>
        <w:spacing w:line="600" w:lineRule="exact"/>
        <w:rPr>
          <w:rFonts w:hint="eastAsia" w:ascii="方正黑体_GBK" w:eastAsia="方正黑体_GBK"/>
        </w:rPr>
      </w:pPr>
    </w:p>
    <w:p>
      <w:pPr>
        <w:spacing w:line="600" w:lineRule="exact"/>
        <w:rPr>
          <w:rFonts w:hint="eastAsia" w:ascii="方正黑体_GBK" w:eastAsia="方正黑体_GBK"/>
        </w:rPr>
      </w:pPr>
    </w:p>
    <w:p>
      <w:pPr>
        <w:spacing w:line="600" w:lineRule="exact"/>
        <w:rPr>
          <w:rFonts w:hint="eastAsia" w:ascii="方正黑体_GBK" w:eastAsia="方正黑体_GBK"/>
        </w:rPr>
      </w:pPr>
    </w:p>
    <w:p>
      <w:pPr>
        <w:spacing w:line="600" w:lineRule="exact"/>
        <w:rPr>
          <w:rFonts w:hint="eastAsia" w:ascii="方正黑体_GBK" w:eastAsia="方正黑体_GBK"/>
        </w:rPr>
      </w:pPr>
      <w:bookmarkStart w:id="4" w:name="_GoBack"/>
      <w:bookmarkEnd w:id="4"/>
    </w:p>
    <w:p>
      <w:pPr>
        <w:spacing w:line="600" w:lineRule="exact"/>
        <w:rPr>
          <w:rFonts w:hint="eastAsia" w:ascii="方正黑体_GBK" w:eastAsia="方正黑体_GBK"/>
        </w:rPr>
      </w:pPr>
      <w:r>
        <w:rPr>
          <w:rFonts w:hint="eastAsia" w:ascii="方正黑体_GBK" w:eastAsia="方正黑体_GBK"/>
        </w:rPr>
        <w:t>附件</w:t>
      </w:r>
    </w:p>
    <w:p>
      <w:pPr>
        <w:spacing w:line="600" w:lineRule="exact"/>
        <w:rPr>
          <w:rFonts w:ascii="方正仿宋_GBK"/>
        </w:rPr>
      </w:pP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重庆市2019-2020年度</w:t>
      </w: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市级政府集中采购目录及采购限额标准</w:t>
      </w:r>
    </w:p>
    <w:p>
      <w:pPr>
        <w:spacing w:line="600" w:lineRule="exact"/>
        <w:rPr>
          <w:rFonts w:hint="eastAsia" w:ascii="方正仿宋_GBK"/>
        </w:rPr>
      </w:pPr>
    </w:p>
    <w:p>
      <w:pPr>
        <w:spacing w:line="600" w:lineRule="exact"/>
        <w:ind w:firstLine="640" w:firstLineChars="200"/>
        <w:rPr>
          <w:rFonts w:hint="eastAsia" w:ascii="方正仿宋_GBK"/>
        </w:rPr>
      </w:pPr>
      <w:r>
        <w:rPr>
          <w:rFonts w:hint="eastAsia" w:ascii="方正仿宋_GBK"/>
        </w:rPr>
        <w:t>根据《中华人民共和国政府采购法》、《中华人民共和国政府采购法实施条例》，结合重庆市具体情况，现制定重庆市2019-2020年度市级政府集中采购目录及标准如下：</w:t>
      </w:r>
    </w:p>
    <w:p>
      <w:pPr>
        <w:spacing w:line="600" w:lineRule="exact"/>
        <w:ind w:firstLine="640" w:firstLineChars="200"/>
        <w:rPr>
          <w:rFonts w:hint="eastAsia" w:ascii="方正黑体_GBK" w:eastAsia="方正黑体_GBK"/>
        </w:rPr>
      </w:pPr>
      <w:r>
        <w:rPr>
          <w:rFonts w:hint="eastAsia" w:ascii="方正黑体_GBK" w:eastAsia="方正黑体_GBK"/>
        </w:rPr>
        <w:t>一、集中采购机构采购项目</w:t>
      </w:r>
    </w:p>
    <w:p>
      <w:pPr>
        <w:spacing w:line="600" w:lineRule="exact"/>
        <w:ind w:firstLine="640" w:firstLineChars="200"/>
        <w:rPr>
          <w:rFonts w:hint="eastAsia" w:ascii="方正仿宋_GBK"/>
        </w:rPr>
      </w:pPr>
      <w:r>
        <w:rPr>
          <w:rFonts w:hint="eastAsia" w:ascii="方正仿宋_GBK"/>
        </w:rPr>
        <w:t>列入市级政府集中采购目录，单次采购金额50万元及以上的项目，应委托集中采购机构（重庆市政府采购中心）代理采购。</w:t>
      </w:r>
    </w:p>
    <w:p>
      <w:pPr>
        <w:spacing w:line="600" w:lineRule="exact"/>
        <w:ind w:firstLine="640" w:firstLineChars="200"/>
        <w:rPr>
          <w:rFonts w:hint="eastAsia" w:ascii="方正仿宋_GBK"/>
        </w:rPr>
      </w:pPr>
      <w:r>
        <w:rPr>
          <w:rFonts w:hint="eastAsia" w:ascii="方正仿宋_GBK"/>
        </w:rPr>
        <w:t>其中，台式计算机、便捷式计算机、平板式微型计算机、操作系统、办公软件、公务车、医疗设备为协议供货品目，单次采购金额在1-200万元以内（含1万元）的项目，市级采购人在申报计划后按协议供货有关规定自行在重庆市政府采购协议供货平台上采购。</w:t>
      </w:r>
    </w:p>
    <w:p>
      <w:pPr>
        <w:spacing w:line="600" w:lineRule="exact"/>
        <w:jc w:val="center"/>
        <w:rPr>
          <w:rFonts w:hint="eastAsia" w:ascii="方正黑体_GBK" w:eastAsia="方正黑体_GBK"/>
        </w:rPr>
      </w:pPr>
      <w:r>
        <w:rPr>
          <w:rFonts w:hint="eastAsia" w:ascii="方正黑体_GBK" w:eastAsia="方正黑体_GBK"/>
        </w:rPr>
        <w:t>重庆市市级政府集中采购目录</w:t>
      </w:r>
    </w:p>
    <w:tbl>
      <w:tblPr>
        <w:tblStyle w:val="5"/>
        <w:tblW w:w="93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2002"/>
        <w:gridCol w:w="2993"/>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tblHeader/>
          <w:jc w:val="center"/>
        </w:trPr>
        <w:tc>
          <w:tcPr>
            <w:tcW w:w="937" w:type="dxa"/>
            <w:shd w:val="clear" w:color="auto" w:fill="auto"/>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序号</w:t>
            </w:r>
          </w:p>
        </w:tc>
        <w:tc>
          <w:tcPr>
            <w:tcW w:w="2002" w:type="dxa"/>
            <w:shd w:val="clear" w:color="auto" w:fill="auto"/>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编码</w:t>
            </w:r>
          </w:p>
        </w:tc>
        <w:tc>
          <w:tcPr>
            <w:tcW w:w="2993" w:type="dxa"/>
            <w:shd w:val="clear" w:color="auto" w:fill="auto"/>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品目名称</w:t>
            </w:r>
          </w:p>
        </w:tc>
        <w:tc>
          <w:tcPr>
            <w:tcW w:w="3402" w:type="dxa"/>
            <w:shd w:val="clear" w:color="auto" w:fill="auto"/>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货物类</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1</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A02010103</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服务器</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2</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A02010104</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台式计算机</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包含一体机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3</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A02010105</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便携式计算机</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4</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A02010107</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平板式微型计算机</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5</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A02010201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路由器</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6</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A02010202</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交换设备</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指交换机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7</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A020103</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信息安全设备</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8</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A020105</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存储设备</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9</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A02010601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打印设备</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10</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A020107</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机房辅助设备</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6"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11</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A020108</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计算机软件</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指非定制的通用商业软件，不包括行业专用软件。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12</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A020305</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乘用车</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13</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A020306</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客车</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14</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A020307</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专用车辆</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15</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A02052305</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空调机组</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包含多联式、一拖多式空调机组。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16</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A02052309</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专用制冷、空调设备</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包含机房用空调机组，恒温、恒湿精密空调。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17</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A02052399</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其他制冷空调设备</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6"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18</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A0206180203</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空调机</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指空调类额定制冷量 14000W 及以下入此，不含多联式空调机组。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19</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A021003</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光学仪器</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20</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A021004</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分析仪器</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21</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A021005</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试验机</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22</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A021006</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实验仪器及装置</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23</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A021101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数字、模拟仪表及功率计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24</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A021109</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波形参数测量仪器</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25</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A021115</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声级计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26</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A021127</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综合测量仪</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27</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A021203</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力学计量标准器具</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28</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A021207</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电离辐射计量标准器具</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29</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A021210</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化学计量标准器具</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30</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A021211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量具</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31</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A021214</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计量标准器具零附件</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32</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A0320</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医疗设备</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33</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A032405</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环保监测设备</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34</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A032501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消防设备</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35</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A032502</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交通管理设备</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36</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A032511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网络监察设备</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37</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A033705</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彩票销售设备</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8"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38</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A05010101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书籍、课本</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指义务教育阶段学校教材、教辅、练习簿等，义务教育免费教科书、义务教育辅助学习资源。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39</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A06</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家具用具</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不包括图书档案设备。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40</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A07030101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制服</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41</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A110503</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兽用疫苗</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42</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A110703</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人用疫苗</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43</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A1108</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医用材料</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服务类</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44</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C0201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软件开发服务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45</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C0202</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信息系统集成实施服务</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指基础环境、软件、硬件及安全集成实施服务。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6"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46</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C0203</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数据处理服务</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指向用户提供的信息和数据的分析、整理、计算、存储等加工处理服务。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93"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47</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C0206</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运行维护服务</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指为满足信息系统正常运行及优化改进的要求，对用户信息系统的基础环境、硬件、软件及安全等提供的各种技术支持和管理服务。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48</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C0299</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其他信息技术服务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0"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49</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C0301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电信服务</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指提供公共网络基础设施、公共数据传送和基本话音通信的基础服务和利用公共网络基础设施提供的增值电信服务。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50</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C0403</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车辆及其他运输机械租赁服务</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指公务用车租赁服务商征集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51</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C0505</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医疗设备维修和保养服务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52</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C0601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会议服务</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指党政机关会议定点酒店征集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53</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C0602</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展览服务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54</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C0802</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会计服务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55</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C0803</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审计服务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56</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C0810</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安全服务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57</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C081401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印刷服务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58</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C0901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技术测试和分析服务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59</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C0904</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测绘服务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60</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C0906</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地质勘测服务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61</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C0908</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其他专业技术服务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62</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C1008</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工程造价咨询服务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63</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C1101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防洪管理服务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64</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C1299</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其他房地产服务</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指市土地储备中心购买的土地储备整治服务。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65</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C1204</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物业管理服务</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包含安保服务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66</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C1303</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园林绿化管理服务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67</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C1504</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保险服务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68</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C160101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清扫服务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69</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C160501</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医疗和药物废弃物治理服务</w:t>
            </w:r>
          </w:p>
        </w:tc>
        <w:tc>
          <w:tcPr>
            <w:tcW w:w="3402"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70</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C170502</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通用航空服务</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指飞机播种、飞机喷药、人工气象服务。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jc w:val="center"/>
        </w:trPr>
        <w:tc>
          <w:tcPr>
            <w:tcW w:w="937" w:type="dxa"/>
            <w:shd w:val="clear" w:color="auto" w:fill="auto"/>
            <w:vAlign w:val="center"/>
          </w:tcPr>
          <w:p>
            <w:pPr>
              <w:spacing w:line="400" w:lineRule="exact"/>
              <w:jc w:val="center"/>
              <w:rPr>
                <w:rFonts w:ascii="方正仿宋_GBK"/>
                <w:sz w:val="28"/>
                <w:szCs w:val="28"/>
              </w:rPr>
            </w:pPr>
            <w:r>
              <w:rPr>
                <w:rFonts w:hint="eastAsia" w:ascii="方正仿宋_GBK"/>
                <w:sz w:val="28"/>
                <w:szCs w:val="28"/>
              </w:rPr>
              <w:t>71</w:t>
            </w:r>
          </w:p>
        </w:tc>
        <w:tc>
          <w:tcPr>
            <w:tcW w:w="2002" w:type="dxa"/>
            <w:shd w:val="clear" w:color="auto" w:fill="auto"/>
            <w:vAlign w:val="center"/>
          </w:tcPr>
          <w:p>
            <w:pPr>
              <w:spacing w:line="400" w:lineRule="exact"/>
              <w:rPr>
                <w:rFonts w:ascii="方正仿宋_GBK"/>
                <w:sz w:val="28"/>
                <w:szCs w:val="28"/>
              </w:rPr>
            </w:pPr>
            <w:r>
              <w:rPr>
                <w:rFonts w:hint="eastAsia" w:ascii="方正仿宋_GBK"/>
                <w:sz w:val="28"/>
                <w:szCs w:val="28"/>
              </w:rPr>
              <w:t>C99</w:t>
            </w:r>
          </w:p>
        </w:tc>
        <w:tc>
          <w:tcPr>
            <w:tcW w:w="2993" w:type="dxa"/>
            <w:shd w:val="clear" w:color="auto" w:fill="auto"/>
            <w:vAlign w:val="center"/>
          </w:tcPr>
          <w:p>
            <w:pPr>
              <w:spacing w:line="400" w:lineRule="exact"/>
              <w:rPr>
                <w:rFonts w:ascii="方正仿宋_GBK"/>
                <w:sz w:val="28"/>
                <w:szCs w:val="28"/>
              </w:rPr>
            </w:pPr>
            <w:r>
              <w:rPr>
                <w:rFonts w:hint="eastAsia" w:ascii="方正仿宋_GBK"/>
                <w:sz w:val="28"/>
                <w:szCs w:val="28"/>
              </w:rPr>
              <w:t>其他服务</w:t>
            </w:r>
          </w:p>
        </w:tc>
        <w:tc>
          <w:tcPr>
            <w:tcW w:w="3402" w:type="dxa"/>
            <w:shd w:val="clear" w:color="auto" w:fill="auto"/>
            <w:vAlign w:val="center"/>
          </w:tcPr>
          <w:p>
            <w:pPr>
              <w:spacing w:line="400" w:lineRule="exact"/>
              <w:rPr>
                <w:rFonts w:ascii="方正仿宋_GBK"/>
                <w:sz w:val="28"/>
                <w:szCs w:val="28"/>
              </w:rPr>
            </w:pPr>
            <w:r>
              <w:rPr>
                <w:rFonts w:hint="eastAsia" w:ascii="方正仿宋_GBK"/>
                <w:sz w:val="28"/>
                <w:szCs w:val="28"/>
              </w:rPr>
              <w:t>指云计算服务。</w:t>
            </w:r>
          </w:p>
        </w:tc>
      </w:tr>
    </w:tbl>
    <w:p>
      <w:pPr>
        <w:spacing w:line="600" w:lineRule="exact"/>
        <w:ind w:firstLine="640" w:firstLineChars="200"/>
        <w:rPr>
          <w:rFonts w:hint="eastAsia" w:ascii="方正仿宋_GBK"/>
        </w:rPr>
      </w:pPr>
      <w:r>
        <w:rPr>
          <w:rFonts w:hint="eastAsia" w:ascii="方正仿宋_GBK"/>
        </w:rPr>
        <w:t>注：本目录的“编码”、“品目名称”参照财政部《政府采购品目分类目录》（财库〔2013〕189号）中的“采购品目”名称制定。</w:t>
      </w:r>
    </w:p>
    <w:p>
      <w:pPr>
        <w:spacing w:line="600" w:lineRule="exact"/>
        <w:ind w:firstLine="640" w:firstLineChars="200"/>
        <w:rPr>
          <w:rFonts w:hint="eastAsia" w:ascii="方正黑体_GBK" w:eastAsia="方正黑体_GBK"/>
        </w:rPr>
      </w:pPr>
      <w:r>
        <w:rPr>
          <w:rFonts w:hint="eastAsia" w:ascii="方正黑体_GBK" w:eastAsia="方正黑体_GBK"/>
        </w:rPr>
        <w:t>二、部门集中采购目录</w:t>
      </w:r>
    </w:p>
    <w:p>
      <w:pPr>
        <w:spacing w:line="600" w:lineRule="exact"/>
        <w:ind w:firstLine="640" w:firstLineChars="200"/>
        <w:rPr>
          <w:rFonts w:hint="eastAsia" w:ascii="方正仿宋_GBK"/>
        </w:rPr>
      </w:pPr>
      <w:r>
        <w:rPr>
          <w:rFonts w:hint="eastAsia" w:ascii="方正仿宋_GBK"/>
        </w:rPr>
        <w:t>列入部门集中采购目录，市级单次采购金额50万元及以上的项目，可由市级部门集中采购单位自行组织采购，或委托采购代理机构代理采购。市级部门集中采购单位是指经市财政批准，可以自行组织采购的部门。</w:t>
      </w:r>
    </w:p>
    <w:p>
      <w:pPr>
        <w:spacing w:line="600" w:lineRule="exact"/>
        <w:jc w:val="center"/>
        <w:rPr>
          <w:rFonts w:hint="eastAsia" w:ascii="方正黑体_GBK" w:eastAsia="方正黑体_GBK"/>
        </w:rPr>
      </w:pPr>
      <w:r>
        <w:rPr>
          <w:rFonts w:hint="eastAsia" w:ascii="方正黑体_GBK" w:eastAsia="方正黑体_GBK"/>
        </w:rPr>
        <w:t>重庆市市级部门集中采购目录</w:t>
      </w:r>
    </w:p>
    <w:tbl>
      <w:tblPr>
        <w:tblStyle w:val="5"/>
        <w:tblW w:w="96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850"/>
        <w:gridCol w:w="2394"/>
        <w:gridCol w:w="2451"/>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blHeader/>
          <w:jc w:val="center"/>
        </w:trPr>
        <w:tc>
          <w:tcPr>
            <w:tcW w:w="1517" w:type="dxa"/>
            <w:shd w:val="clear" w:color="auto" w:fill="auto"/>
            <w:noWrap/>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适用部门</w:t>
            </w:r>
          </w:p>
        </w:tc>
        <w:tc>
          <w:tcPr>
            <w:tcW w:w="850" w:type="dxa"/>
            <w:shd w:val="clear" w:color="auto" w:fill="auto"/>
            <w:noWrap/>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序号</w:t>
            </w:r>
          </w:p>
        </w:tc>
        <w:tc>
          <w:tcPr>
            <w:tcW w:w="2394" w:type="dxa"/>
            <w:shd w:val="clear" w:color="auto" w:fill="auto"/>
            <w:noWrap/>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编码</w:t>
            </w:r>
          </w:p>
        </w:tc>
        <w:tc>
          <w:tcPr>
            <w:tcW w:w="2451" w:type="dxa"/>
            <w:shd w:val="clear" w:color="auto" w:fill="auto"/>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品目名称</w:t>
            </w:r>
          </w:p>
        </w:tc>
        <w:tc>
          <w:tcPr>
            <w:tcW w:w="2428" w:type="dxa"/>
            <w:shd w:val="clear" w:color="auto" w:fill="auto"/>
            <w:vAlign w:val="center"/>
          </w:tcPr>
          <w:p>
            <w:pPr>
              <w:spacing w:line="400" w:lineRule="exact"/>
              <w:jc w:val="center"/>
              <w:rPr>
                <w:rFonts w:hint="eastAsia" w:ascii="方正黑体_GBK" w:eastAsia="方正黑体_GBK"/>
                <w:sz w:val="28"/>
                <w:szCs w:val="28"/>
              </w:rPr>
            </w:pPr>
            <w:r>
              <w:rPr>
                <w:rFonts w:hint="eastAsia" w:ascii="方正黑体_GBK" w:eastAsia="方正黑体_GBK"/>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restart"/>
            <w:shd w:val="clear" w:color="auto" w:fill="auto"/>
            <w:noWrap/>
            <w:vAlign w:val="center"/>
          </w:tcPr>
          <w:p>
            <w:pPr>
              <w:spacing w:line="400" w:lineRule="exact"/>
              <w:rPr>
                <w:rFonts w:ascii="方正仿宋_GBK"/>
                <w:sz w:val="28"/>
                <w:szCs w:val="28"/>
              </w:rPr>
            </w:pPr>
            <w:r>
              <w:rPr>
                <w:rFonts w:hint="eastAsia" w:ascii="方正仿宋_GBK"/>
                <w:sz w:val="28"/>
                <w:szCs w:val="28"/>
              </w:rPr>
              <w:t>市公安局</w:t>
            </w:r>
          </w:p>
        </w:tc>
        <w:tc>
          <w:tcPr>
            <w:tcW w:w="850" w:type="dxa"/>
            <w:shd w:val="clear" w:color="auto" w:fill="auto"/>
            <w:noWrap/>
            <w:vAlign w:val="center"/>
          </w:tcPr>
          <w:p>
            <w:pPr>
              <w:spacing w:line="400" w:lineRule="exact"/>
              <w:jc w:val="center"/>
              <w:rPr>
                <w:rFonts w:ascii="方正仿宋_GBK"/>
                <w:sz w:val="28"/>
                <w:szCs w:val="28"/>
              </w:rPr>
            </w:pP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货物类</w:t>
            </w:r>
          </w:p>
        </w:tc>
        <w:tc>
          <w:tcPr>
            <w:tcW w:w="2428"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1</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A032503</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物证检验鉴定设备</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医学检验鉴定设备、物理化验检验鉴定设备、痕迹检验鉴定设备、物证图像采集处理设备、文件检验鉴定设备、指纹检验鉴定设备、爆炸物检验鉴定设备、电子物证检验鉴定设备、声纹检验鉴定设备、心理测试设备、毒品检查设备、其他物证检验鉴定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2</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A032504</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安全、检查、监视、报警设备</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指公安专用监视设备。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3</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A032505</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爆炸物处置设备</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指爆炸物探测设备、防爆设备、排爆设备、储运设备、其他爆炸物处理设备。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4</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A032506</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技术侦察取证设备</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指技术侦查设备、技术取证设备等。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3"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5</w:t>
            </w:r>
          </w:p>
        </w:tc>
        <w:tc>
          <w:tcPr>
            <w:tcW w:w="2394" w:type="dxa"/>
            <w:shd w:val="clear" w:color="auto" w:fill="auto"/>
            <w:vAlign w:val="center"/>
          </w:tcPr>
          <w:p>
            <w:pPr>
              <w:spacing w:line="400" w:lineRule="exact"/>
              <w:rPr>
                <w:rFonts w:ascii="方正仿宋_GBK"/>
                <w:sz w:val="28"/>
                <w:szCs w:val="28"/>
              </w:rPr>
            </w:pPr>
            <w:r>
              <w:rPr>
                <w:rFonts w:hint="eastAsia" w:ascii="方正仿宋_GBK"/>
                <w:sz w:val="28"/>
                <w:szCs w:val="28"/>
              </w:rPr>
              <w:t>A032507</w:t>
            </w:r>
          </w:p>
        </w:tc>
        <w:tc>
          <w:tcPr>
            <w:tcW w:w="2451" w:type="dxa"/>
            <w:shd w:val="clear" w:color="auto" w:fill="auto"/>
            <w:vAlign w:val="center"/>
          </w:tcPr>
          <w:p>
            <w:pPr>
              <w:spacing w:line="400" w:lineRule="exact"/>
              <w:rPr>
                <w:rFonts w:ascii="方正仿宋_GBK"/>
                <w:sz w:val="28"/>
                <w:szCs w:val="28"/>
              </w:rPr>
            </w:pPr>
            <w:r>
              <w:rPr>
                <w:rFonts w:hint="eastAsia" w:ascii="方正仿宋_GBK"/>
                <w:sz w:val="28"/>
                <w:szCs w:val="28"/>
              </w:rPr>
              <w:t>警械设备</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指警棍、手铐、脚镣、强光手电、警用制式刀具、约束装备、警绳、勤务装具、警械专用柜、催泪喷射器、防暴射网器、其他警械设备。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6</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A032509</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防护防暴装备</w:t>
            </w:r>
          </w:p>
        </w:tc>
        <w:tc>
          <w:tcPr>
            <w:tcW w:w="2428" w:type="dxa"/>
            <w:shd w:val="clear" w:color="auto" w:fill="auto"/>
            <w:noWrap/>
            <w:vAlign w:val="center"/>
          </w:tcPr>
          <w:p>
            <w:pPr>
              <w:spacing w:line="400" w:lineRule="exact"/>
              <w:rPr>
                <w:rFonts w:ascii="方正仿宋_GBK"/>
                <w:sz w:val="28"/>
                <w:szCs w:val="28"/>
              </w:rPr>
            </w:pPr>
            <w:r>
              <w:rPr>
                <w:rFonts w:hint="eastAsia" w:ascii="方正仿宋_GBK"/>
                <w:sz w:val="28"/>
                <w:szCs w:val="28"/>
              </w:rPr>
              <w:t>指防护装备、防暴装备等。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7</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A032510</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出入境设备</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指出入境检查台设备、出入境自助通道设备、出入境证件查验设备、出入境证件制作设备、出入境证件自助受理设备、出入境证件自助发放设备、电子护照、出入境证件阅读机。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8</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A032511</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网络监察设备</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指网络侦控设备、网络临侦设备、其他网络监察设备。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9</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A032599</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其他政法、检测专用设备</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指警用杀伤性武器设备。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restart"/>
            <w:shd w:val="clear" w:color="auto" w:fill="auto"/>
            <w:noWrap/>
            <w:vAlign w:val="center"/>
          </w:tcPr>
          <w:p>
            <w:pPr>
              <w:spacing w:line="400" w:lineRule="exact"/>
              <w:rPr>
                <w:rFonts w:ascii="方正仿宋_GBK"/>
                <w:sz w:val="28"/>
                <w:szCs w:val="28"/>
              </w:rPr>
            </w:pPr>
            <w:r>
              <w:rPr>
                <w:rFonts w:hint="eastAsia" w:ascii="方正仿宋_GBK"/>
                <w:sz w:val="28"/>
                <w:szCs w:val="28"/>
              </w:rPr>
              <w:t>市教委</w:t>
            </w:r>
          </w:p>
        </w:tc>
        <w:tc>
          <w:tcPr>
            <w:tcW w:w="850" w:type="dxa"/>
            <w:shd w:val="clear" w:color="auto" w:fill="auto"/>
            <w:noWrap/>
            <w:vAlign w:val="center"/>
          </w:tcPr>
          <w:p>
            <w:pPr>
              <w:spacing w:line="400" w:lineRule="exact"/>
              <w:jc w:val="center"/>
              <w:rPr>
                <w:rFonts w:ascii="方正仿宋_GBK"/>
                <w:sz w:val="28"/>
                <w:szCs w:val="28"/>
              </w:rPr>
            </w:pP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货物类</w:t>
            </w:r>
          </w:p>
        </w:tc>
        <w:tc>
          <w:tcPr>
            <w:tcW w:w="2428"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1</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A033412</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教学专用仪器</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教学数学专用仪器，演示计量仪器，教学用力学仪器，教学用光学仪器，教学用原子物理及核物理仪器，教学用电磁学实验仪器，教学用电子学实验仪器，教学用空气动力学实验仪器，教学用天文气象实验仪器，教学用航空、航天、航海实验仪器，教学用机电实验仪器，教学用声学仪器，教学用热学仪器，教学用心理学仪器，数学用化学分析及化工仪器，教学用生理仪器，教学用地理仪器，电教仪器，教学用技术基础课仪器，数学用计算机示教仪器，其他教学专用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2</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A05010101</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书籍、课本</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不包含义务教育阶段学校教材、教辅、练习簿等，义务教育免费教科书、义务教育辅助学习资源。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3</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A06</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家具用具</w:t>
            </w:r>
          </w:p>
        </w:tc>
        <w:tc>
          <w:tcPr>
            <w:tcW w:w="2428"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4</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A070302</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床上装具</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指校用床上装具，不包括电热卧具。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5</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A090403</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教具</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指校用家具用具。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6</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A0201080302</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行业应用软件</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指教育行业软件。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7</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A02100202</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实验室电工仪器及指针式电表</w:t>
            </w:r>
          </w:p>
        </w:tc>
        <w:tc>
          <w:tcPr>
            <w:tcW w:w="2428" w:type="dxa"/>
            <w:shd w:val="clear" w:color="auto" w:fill="auto"/>
            <w:vAlign w:val="center"/>
          </w:tcPr>
          <w:p>
            <w:pPr>
              <w:spacing w:line="400" w:lineRule="exact"/>
              <w:rPr>
                <w:rFonts w:ascii="方正仿宋_GBK"/>
                <w:spacing w:val="-10"/>
                <w:sz w:val="28"/>
                <w:szCs w:val="28"/>
              </w:rPr>
            </w:pPr>
            <w:r>
              <w:rPr>
                <w:rFonts w:hint="eastAsia" w:ascii="方正仿宋_GBK"/>
                <w:spacing w:val="-10"/>
                <w:sz w:val="28"/>
                <w:szCs w:val="28"/>
              </w:rPr>
              <w:t>指教学演示用实验室及携式电表等。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C</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服务类</w:t>
            </w:r>
          </w:p>
        </w:tc>
        <w:tc>
          <w:tcPr>
            <w:tcW w:w="2428" w:type="dxa"/>
            <w:shd w:val="clear" w:color="auto" w:fill="auto"/>
            <w:vAlign w:val="center"/>
          </w:tcPr>
          <w:p>
            <w:pPr>
              <w:spacing w:line="400" w:lineRule="exact"/>
              <w:rPr>
                <w:rFonts w:ascii="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8</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C02010302</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行业应用软件开发服务</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指教育行业软件开发服务。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9</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C060299</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其他会展服务</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指教育展览服务。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7" w:type="dxa"/>
            <w:vMerge w:val="continue"/>
            <w:shd w:val="clear" w:color="auto" w:fill="auto"/>
            <w:vAlign w:val="center"/>
          </w:tcPr>
          <w:p>
            <w:pPr>
              <w:spacing w:line="400" w:lineRule="exact"/>
              <w:rPr>
                <w:rFonts w:ascii="方正仿宋_GBK"/>
                <w:sz w:val="28"/>
                <w:szCs w:val="28"/>
              </w:rPr>
            </w:pPr>
          </w:p>
        </w:tc>
        <w:tc>
          <w:tcPr>
            <w:tcW w:w="850" w:type="dxa"/>
            <w:shd w:val="clear" w:color="auto" w:fill="auto"/>
            <w:noWrap/>
            <w:vAlign w:val="center"/>
          </w:tcPr>
          <w:p>
            <w:pPr>
              <w:spacing w:line="400" w:lineRule="exact"/>
              <w:jc w:val="center"/>
              <w:rPr>
                <w:rFonts w:ascii="方正仿宋_GBK"/>
                <w:sz w:val="28"/>
                <w:szCs w:val="28"/>
              </w:rPr>
            </w:pPr>
            <w:r>
              <w:rPr>
                <w:rFonts w:hint="eastAsia" w:ascii="方正仿宋_GBK"/>
                <w:sz w:val="28"/>
                <w:szCs w:val="28"/>
              </w:rPr>
              <w:t>10</w:t>
            </w:r>
          </w:p>
        </w:tc>
        <w:tc>
          <w:tcPr>
            <w:tcW w:w="2394" w:type="dxa"/>
            <w:shd w:val="clear" w:color="auto" w:fill="auto"/>
            <w:noWrap/>
            <w:vAlign w:val="center"/>
          </w:tcPr>
          <w:p>
            <w:pPr>
              <w:spacing w:line="400" w:lineRule="exact"/>
              <w:rPr>
                <w:rFonts w:ascii="方正仿宋_GBK"/>
                <w:sz w:val="28"/>
                <w:szCs w:val="28"/>
              </w:rPr>
            </w:pPr>
            <w:r>
              <w:rPr>
                <w:rFonts w:hint="eastAsia" w:ascii="方正仿宋_GBK"/>
                <w:sz w:val="28"/>
                <w:szCs w:val="28"/>
              </w:rPr>
              <w:t>C081402</w:t>
            </w:r>
          </w:p>
        </w:tc>
        <w:tc>
          <w:tcPr>
            <w:tcW w:w="2451" w:type="dxa"/>
            <w:shd w:val="clear" w:color="auto" w:fill="auto"/>
            <w:noWrap/>
            <w:vAlign w:val="center"/>
          </w:tcPr>
          <w:p>
            <w:pPr>
              <w:spacing w:line="400" w:lineRule="exact"/>
              <w:rPr>
                <w:rFonts w:ascii="方正仿宋_GBK"/>
                <w:sz w:val="28"/>
                <w:szCs w:val="28"/>
              </w:rPr>
            </w:pPr>
            <w:r>
              <w:rPr>
                <w:rFonts w:hint="eastAsia" w:ascii="方正仿宋_GBK"/>
                <w:sz w:val="28"/>
                <w:szCs w:val="28"/>
              </w:rPr>
              <w:t>出版服务</w:t>
            </w:r>
          </w:p>
        </w:tc>
        <w:tc>
          <w:tcPr>
            <w:tcW w:w="2428" w:type="dxa"/>
            <w:shd w:val="clear" w:color="auto" w:fill="auto"/>
            <w:vAlign w:val="center"/>
          </w:tcPr>
          <w:p>
            <w:pPr>
              <w:spacing w:line="400" w:lineRule="exact"/>
              <w:rPr>
                <w:rFonts w:ascii="方正仿宋_GBK"/>
                <w:sz w:val="28"/>
                <w:szCs w:val="28"/>
              </w:rPr>
            </w:pPr>
            <w:r>
              <w:rPr>
                <w:rFonts w:hint="eastAsia" w:ascii="方正仿宋_GBK"/>
                <w:sz w:val="28"/>
                <w:szCs w:val="28"/>
              </w:rPr>
              <w:t>指学校图书出版服务：书籍出版、课本类书籍出版、其他图书出版服务；教育类杂志出版。不含图书、报纸、期刊等的印刷和销售。</w:t>
            </w:r>
          </w:p>
        </w:tc>
      </w:tr>
    </w:tbl>
    <w:p>
      <w:pPr>
        <w:spacing w:line="600" w:lineRule="exact"/>
        <w:ind w:firstLine="640" w:firstLineChars="200"/>
        <w:rPr>
          <w:rFonts w:hint="eastAsia" w:ascii="方正仿宋_GBK"/>
        </w:rPr>
      </w:pPr>
      <w:r>
        <w:rPr>
          <w:rFonts w:hint="eastAsia" w:ascii="方正仿宋_GBK"/>
        </w:rPr>
        <w:t>注：本目录的“编码”、“品目名称”参照财政部《政府采购品目分类目录》（财库〔2013〕189号）中的“采购品目”名称制定。</w:t>
      </w:r>
    </w:p>
    <w:p>
      <w:pPr>
        <w:spacing w:line="600" w:lineRule="exact"/>
        <w:ind w:firstLine="640" w:firstLineChars="200"/>
        <w:rPr>
          <w:rFonts w:hint="eastAsia" w:ascii="方正黑体_GBK" w:eastAsia="方正黑体_GBK"/>
        </w:rPr>
      </w:pPr>
      <w:r>
        <w:rPr>
          <w:rFonts w:hint="eastAsia" w:ascii="方正黑体_GBK" w:eastAsia="方正黑体_GBK"/>
        </w:rPr>
        <w:t>三、分散采购</w:t>
      </w:r>
    </w:p>
    <w:p>
      <w:pPr>
        <w:spacing w:line="600" w:lineRule="exact"/>
        <w:ind w:firstLine="640" w:firstLineChars="200"/>
        <w:rPr>
          <w:rFonts w:hint="eastAsia" w:ascii="方正仿宋_GBK"/>
        </w:rPr>
      </w:pPr>
      <w:r>
        <w:rPr>
          <w:rFonts w:hint="eastAsia" w:ascii="方正仿宋_GBK"/>
        </w:rPr>
        <w:t>政府集中采购目录以外，市级单次采购金额达到50万元及以上的货物和服务类项目、100万元及以上的工程类项目，采购人应按照《中华人民共和国政府采购法》及其实施条例等规定，实行分散采购。</w:t>
      </w:r>
    </w:p>
    <w:p>
      <w:pPr>
        <w:spacing w:line="600" w:lineRule="exact"/>
        <w:ind w:firstLine="640" w:firstLineChars="200"/>
        <w:rPr>
          <w:rFonts w:hint="eastAsia" w:ascii="方正仿宋_GBK"/>
        </w:rPr>
      </w:pPr>
      <w:r>
        <w:rPr>
          <w:rFonts w:hint="eastAsia" w:ascii="方正仿宋_GBK"/>
        </w:rPr>
        <w:t>属于分散采购范围的采购项目，采购人可自行采购或者委托采购代理机构代理采购。</w:t>
      </w:r>
    </w:p>
    <w:p>
      <w:pPr>
        <w:spacing w:line="600" w:lineRule="exact"/>
        <w:ind w:firstLine="640" w:firstLineChars="200"/>
        <w:rPr>
          <w:rFonts w:hint="eastAsia" w:ascii="方正仿宋_GBK"/>
        </w:rPr>
      </w:pPr>
      <w:r>
        <w:rPr>
          <w:rFonts w:hint="eastAsia" w:ascii="方正仿宋_GBK"/>
        </w:rPr>
        <w:t>政府集中采购目录以外，采购限额标准以下的采购项目不适用《中华人民共和国政府采购法》及其实施条例的有关规定，由采购人按照公开、公平、公正、高效廉洁的原则自行组织实施，并做好相关内控管理。</w:t>
      </w:r>
    </w:p>
    <w:p>
      <w:pPr>
        <w:spacing w:line="600" w:lineRule="exact"/>
        <w:ind w:firstLine="640" w:firstLineChars="200"/>
        <w:rPr>
          <w:rFonts w:hint="eastAsia" w:ascii="方正黑体_GBK" w:eastAsia="方正黑体_GBK"/>
        </w:rPr>
      </w:pPr>
      <w:r>
        <w:rPr>
          <w:rFonts w:hint="eastAsia" w:ascii="方正黑体_GBK" w:eastAsia="方正黑体_GBK"/>
        </w:rPr>
        <w:t>四、公开招标数额标准</w:t>
      </w:r>
    </w:p>
    <w:p>
      <w:pPr>
        <w:spacing w:line="600" w:lineRule="exact"/>
        <w:ind w:firstLine="640" w:firstLineChars="200"/>
        <w:rPr>
          <w:rFonts w:hint="eastAsia" w:ascii="方正仿宋_GBK"/>
        </w:rPr>
      </w:pPr>
      <w:r>
        <w:rPr>
          <w:rFonts w:hint="eastAsia" w:ascii="方正仿宋_GBK"/>
        </w:rPr>
        <w:t>市级单次采购金额达到200万元及以上的货物和服务类采购项目应当采用公开招标方式采购。</w:t>
      </w:r>
    </w:p>
    <w:p>
      <w:pPr>
        <w:spacing w:line="600" w:lineRule="exact"/>
        <w:ind w:firstLine="640" w:firstLineChars="200"/>
        <w:rPr>
          <w:rFonts w:ascii="方正仿宋_GBK"/>
        </w:rPr>
      </w:pPr>
      <w:r>
        <w:rPr>
          <w:rFonts w:hint="eastAsia" w:ascii="方正仿宋_GBK"/>
        </w:rPr>
        <w:t>工程类（建设工程）项目公开招标数额标准按照国家有关规定执行。</w:t>
      </w:r>
    </w:p>
    <w:p>
      <w:pPr>
        <w:spacing w:line="600" w:lineRule="exact"/>
        <w:rPr>
          <w:rFonts w:ascii="方正仿宋_GBK"/>
        </w:rPr>
      </w:pPr>
    </w:p>
    <w:p>
      <w:pPr>
        <w:spacing w:line="600" w:lineRule="exact"/>
        <w:rPr>
          <w:rFonts w:ascii="方正仿宋_GBK"/>
        </w:rPr>
      </w:pPr>
    </w:p>
    <w:p>
      <w:pPr>
        <w:spacing w:line="600" w:lineRule="exact"/>
        <w:rPr>
          <w:rFonts w:ascii="方正仿宋_GBK"/>
        </w:rPr>
      </w:pPr>
    </w:p>
    <w:p>
      <w:pPr>
        <w:spacing w:line="600" w:lineRule="exact"/>
        <w:rPr>
          <w:rFonts w:ascii="方正仿宋_GBK"/>
        </w:rPr>
      </w:pPr>
    </w:p>
    <w:p>
      <w:pPr>
        <w:spacing w:line="600" w:lineRule="exact"/>
        <w:rPr>
          <w:rFonts w:ascii="方正仿宋_GBK"/>
        </w:rPr>
      </w:pPr>
    </w:p>
    <w:p>
      <w:pPr>
        <w:spacing w:line="600" w:lineRule="exact"/>
        <w:rPr>
          <w:rFonts w:ascii="方正仿宋_GBK"/>
        </w:rPr>
      </w:pPr>
    </w:p>
    <w:p>
      <w:pPr>
        <w:spacing w:line="600" w:lineRule="exact"/>
        <w:rPr>
          <w:rFonts w:ascii="方正仿宋_GBK"/>
        </w:rPr>
      </w:pPr>
    </w:p>
    <w:p>
      <w:pPr>
        <w:spacing w:line="600" w:lineRule="exact"/>
        <w:rPr>
          <w:rFonts w:hint="eastAsia" w:ascii="方正仿宋_GBK"/>
        </w:rPr>
      </w:pPr>
    </w:p>
    <w:p>
      <w:pPr>
        <w:spacing w:line="600" w:lineRule="exact"/>
        <w:rPr>
          <w:rFonts w:ascii="方正仿宋_GBK"/>
        </w:rPr>
      </w:pPr>
    </w:p>
    <w:p>
      <w:pPr>
        <w:spacing w:line="600" w:lineRule="exact"/>
        <w:rPr>
          <w:rFonts w:ascii="方正仿宋_GBK"/>
        </w:rPr>
      </w:pPr>
    </w:p>
    <w:p>
      <w:pPr>
        <w:spacing w:line="600" w:lineRule="exact"/>
        <w:rPr>
          <w:rFonts w:ascii="方正仿宋_GBK"/>
        </w:rPr>
      </w:pPr>
    </w:p>
    <w:p>
      <w:pPr>
        <w:spacing w:line="600" w:lineRule="exact"/>
        <w:rPr>
          <w:rFonts w:ascii="方正仿宋_GBK"/>
        </w:rPr>
      </w:pPr>
    </w:p>
    <w:p>
      <w:pPr>
        <w:spacing w:line="600" w:lineRule="exact"/>
        <w:ind w:firstLine="320" w:firstLineChars="100"/>
        <w:rPr>
          <w:rFonts w:hint="eastAsia" w:ascii="方正仿宋_GBK"/>
          <w:sz w:val="28"/>
          <w:szCs w:val="28"/>
        </w:rPr>
      </w:pPr>
      <w:r>
        <mc:AlternateContent>
          <mc:Choice Requires="wps">
            <w:drawing>
              <wp:anchor distT="0" distB="0" distL="114300" distR="114300" simplePos="0" relativeHeight="251662336" behindDoc="0" locked="0" layoutInCell="1" allowOverlap="1">
                <wp:simplePos x="0" y="0"/>
                <wp:positionH relativeFrom="column">
                  <wp:posOffset>-10160</wp:posOffset>
                </wp:positionH>
                <wp:positionV relativeFrom="paragraph">
                  <wp:posOffset>410210</wp:posOffset>
                </wp:positionV>
                <wp:extent cx="5629275" cy="0"/>
                <wp:effectExtent l="0" t="0" r="28575" b="19050"/>
                <wp:wrapNone/>
                <wp:docPr id="2" name="直接箭头连接符 2"/>
                <wp:cNvGraphicFramePr/>
                <a:graphic xmlns:a="http://schemas.openxmlformats.org/drawingml/2006/main">
                  <a:graphicData uri="http://schemas.microsoft.com/office/word/2010/wordprocessingShape">
                    <wps:wsp>
                      <wps:cNvCnPr>
                        <a:cxnSpLocks noChangeShapeType="1"/>
                      </wps:cNvCnPr>
                      <wps:spPr bwMode="auto">
                        <a:xfrm>
                          <a:off x="0" y="0"/>
                          <a:ext cx="5629275" cy="0"/>
                        </a:xfrm>
                        <a:prstGeom prst="straightConnector1">
                          <a:avLst/>
                        </a:prstGeom>
                        <a:noFill/>
                        <a:ln w="15875">
                          <a:solidFill>
                            <a:srgbClr val="000000"/>
                          </a:solidFill>
                          <a:round/>
                        </a:ln>
                      </wps:spPr>
                      <wps:bodyPr/>
                    </wps:wsp>
                  </a:graphicData>
                </a:graphic>
              </wp:anchor>
            </w:drawing>
          </mc:Choice>
          <mc:Fallback>
            <w:pict>
              <v:shape id="_x0000_s1026" o:spid="_x0000_s1026" o:spt="32" type="#_x0000_t32" style="position:absolute;left:0pt;margin-left:-0.8pt;margin-top:32.3pt;height:0pt;width:443.25pt;z-index:251662336;mso-width-relative:page;mso-height-relative:page;" filled="f" stroked="t" coordsize="21600,21600" o:gfxdata="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AAAkfdcAAAAIAQAADwAAAAAAAAAB&#10;ACAAAAAiAAAAZHJzL2Rvd25yZXYueG1sUEsBAhQAFAAAAAgAh07iQAuJNr/YAQAAcQMAAA4AAAAA&#10;AAAAAQAgAAAAJgEAAGRycy9lMm9Eb2MueG1sUEsFBgAAAAAGAAYAWQEAAHAFAAAAAA==&#10;">
                <v:fill on="f" focussize="0,0"/>
                <v:stroke weight="1.25pt" color="#000000" joinstyle="round"/>
                <v:imagedata o:title=""/>
                <o:lock v:ext="edit" aspectratio="f"/>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-10160</wp:posOffset>
                </wp:positionH>
                <wp:positionV relativeFrom="paragraph">
                  <wp:posOffset>50165</wp:posOffset>
                </wp:positionV>
                <wp:extent cx="5629275" cy="0"/>
                <wp:effectExtent l="0" t="0" r="28575" b="19050"/>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a:off x="0" y="0"/>
                          <a:ext cx="5629275" cy="0"/>
                        </a:xfrm>
                        <a:prstGeom prst="straightConnector1">
                          <a:avLst/>
                        </a:prstGeom>
                        <a:noFill/>
                        <a:ln w="15875">
                          <a:solidFill>
                            <a:srgbClr val="000000"/>
                          </a:solidFill>
                          <a:round/>
                        </a:ln>
                      </wps:spPr>
                      <wps:bodyPr/>
                    </wps:wsp>
                  </a:graphicData>
                </a:graphic>
              </wp:anchor>
            </w:drawing>
          </mc:Choice>
          <mc:Fallback>
            <w:pict>
              <v:shape id="_x0000_s1026" o:spid="_x0000_s1026" o:spt="32" type="#_x0000_t32" style="position:absolute;left:0pt;margin-left:-0.8pt;margin-top:3.95pt;height:0pt;width:443.25pt;z-index:251661312;mso-width-relative:page;mso-height-relative:page;" filled="f" stroked="t" coordsize="21600,21600" o:gfxdata="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aeSLpNQAAAAGAQAADwAAAAAAAAABACAA&#10;AAAiAAAAZHJzL2Rvd25yZXYueG1sUEsBAhQAFAAAAAgAh07iQF8M1QHYAQAAcQMAAA4AAAAAAAAA&#10;AQAgAAAAIwEAAGRycy9lMm9Eb2MueG1sUEsFBgAAAAAGAAYAWQEAAG0FAAAAAA==&#10;">
                <v:fill on="f" focussize="0,0"/>
                <v:stroke weight="1.25pt" color="#000000" joinstyle="round"/>
                <v:imagedata o:title=""/>
                <o:lock v:ext="edit" aspectratio="f"/>
              </v:shape>
            </w:pict>
          </mc:Fallback>
        </mc:AlternateContent>
      </w:r>
      <w:r>
        <w:rPr>
          <w:rFonts w:hint="eastAsia" w:ascii="方正仿宋_GBK"/>
          <w:sz w:val="28"/>
          <w:szCs w:val="28"/>
        </w:rPr>
        <w:t>重庆市财政局办公室</w:t>
      </w:r>
      <w:r>
        <w:rPr>
          <w:rFonts w:hint="eastAsia" w:ascii="方正仿宋_GBK"/>
          <w:sz w:val="2"/>
          <w:szCs w:val="28"/>
        </w:rPr>
        <w:t>caif</w:t>
      </w:r>
      <w:r>
        <w:rPr>
          <w:rFonts w:hint="eastAsia" w:ascii="方正仿宋_GBK"/>
          <w:sz w:val="28"/>
          <w:szCs w:val="28"/>
        </w:rPr>
        <w:t xml:space="preserve">          </w:t>
      </w:r>
      <w:r>
        <w:rPr>
          <w:rFonts w:ascii="方正仿宋_GBK"/>
          <w:sz w:val="28"/>
          <w:szCs w:val="28"/>
        </w:rPr>
        <w:t xml:space="preserve">     </w:t>
      </w:r>
      <w:r>
        <w:rPr>
          <w:rFonts w:hint="eastAsia" w:ascii="方正仿宋_GBK"/>
          <w:sz w:val="28"/>
          <w:szCs w:val="28"/>
        </w:rPr>
        <w:t xml:space="preserve"> </w:t>
      </w:r>
      <w:r>
        <w:rPr>
          <w:rFonts w:ascii="方正仿宋_GBK"/>
          <w:sz w:val="28"/>
          <w:szCs w:val="28"/>
        </w:rPr>
        <w:t xml:space="preserve">  </w:t>
      </w:r>
      <w:r>
        <w:rPr>
          <w:rFonts w:hint="eastAsia" w:ascii="方正仿宋_GBK"/>
          <w:sz w:val="28"/>
          <w:szCs w:val="28"/>
        </w:rPr>
        <w:t xml:space="preserve"> </w:t>
      </w:r>
      <w:r>
        <w:rPr>
          <w:rFonts w:ascii="方正仿宋_GBK"/>
          <w:sz w:val="28"/>
          <w:szCs w:val="28"/>
        </w:rPr>
        <w:t xml:space="preserve"> </w:t>
      </w:r>
      <w:r>
        <w:rPr>
          <w:rFonts w:hint="eastAsia" w:ascii="方正仿宋_GBK"/>
          <w:sz w:val="28"/>
          <w:szCs w:val="28"/>
        </w:rPr>
        <w:t xml:space="preserve"> 201</w:t>
      </w:r>
      <w:r>
        <w:rPr>
          <w:rFonts w:ascii="方正仿宋_GBK"/>
          <w:sz w:val="28"/>
          <w:szCs w:val="28"/>
        </w:rPr>
        <w:t>9</w:t>
      </w:r>
      <w:r>
        <w:rPr>
          <w:rFonts w:hint="eastAsia" w:ascii="方正仿宋_GBK"/>
          <w:sz w:val="28"/>
          <w:szCs w:val="28"/>
        </w:rPr>
        <w:t>年</w:t>
      </w:r>
      <w:r>
        <w:rPr>
          <w:rFonts w:ascii="方正仿宋_GBK"/>
          <w:sz w:val="28"/>
          <w:szCs w:val="28"/>
        </w:rPr>
        <w:t>3</w:t>
      </w:r>
      <w:r>
        <w:rPr>
          <w:rFonts w:hint="eastAsia" w:ascii="方正仿宋_GBK"/>
          <w:sz w:val="28"/>
          <w:szCs w:val="28"/>
        </w:rPr>
        <w:t>月</w:t>
      </w:r>
      <w:r>
        <w:rPr>
          <w:rFonts w:ascii="方正仿宋_GBK"/>
          <w:sz w:val="28"/>
          <w:szCs w:val="28"/>
        </w:rPr>
        <w:t>18</w:t>
      </w:r>
      <w:r>
        <w:rPr>
          <w:rFonts w:hint="eastAsia" w:ascii="方正仿宋_GBK"/>
          <w:sz w:val="28"/>
          <w:szCs w:val="28"/>
        </w:rPr>
        <w:t>日印发</w:t>
      </w:r>
    </w:p>
    <w:p>
      <w:pPr>
        <w:spacing w:line="600" w:lineRule="exact"/>
        <w:ind w:firstLine="280" w:firstLineChars="100"/>
        <w:rPr>
          <w:rFonts w:hint="eastAsia" w:ascii="方正仿宋_GBK"/>
          <w:sz w:val="28"/>
          <w:szCs w:val="28"/>
        </w:rPr>
      </w:pPr>
    </w:p>
    <w:p>
      <w:pPr>
        <w:pStyle w:val="2"/>
        <w:keepNext w:val="0"/>
        <w:keepLines w:val="0"/>
        <w:widowControl/>
        <w:suppressLineNumbers w:val="0"/>
        <w:wordWrap w:val="0"/>
        <w:jc w:val="center"/>
      </w:pPr>
      <w:r>
        <w:t>关于《重庆市2019-2020年度市级政府集中采购目录及采购限额标准》相关内容的说明</w:t>
      </w:r>
    </w:p>
    <w:p>
      <w:pPr>
        <w:pStyle w:val="4"/>
        <w:keepNext w:val="0"/>
        <w:keepLines w:val="0"/>
        <w:widowControl/>
        <w:suppressLineNumbers w:val="0"/>
        <w:spacing w:before="0" w:beforeAutospacing="1" w:after="0" w:afterAutospacing="1"/>
        <w:ind w:left="0" w:right="0"/>
        <w:jc w:val="center"/>
        <w:rPr>
          <w:sz w:val="24"/>
          <w:szCs w:val="24"/>
        </w:rPr>
      </w:pPr>
      <w:r>
        <w:rPr>
          <w:sz w:val="24"/>
          <w:szCs w:val="24"/>
        </w:rPr>
        <w:t xml:space="preserve">发布时间：2019-03-26 10:12:58 </w:t>
      </w:r>
    </w:p>
    <w:p>
      <w:pPr>
        <w:pStyle w:val="4"/>
        <w:keepNext w:val="0"/>
        <w:keepLines w:val="0"/>
        <w:widowControl/>
        <w:suppressLineNumbers w:val="0"/>
        <w:wordWrap w:val="0"/>
      </w:pPr>
      <w:r>
        <w:rPr>
          <w:rFonts w:ascii="方正仿宋_GBK" w:hAnsi="方正仿宋_GBK" w:eastAsia="方正仿宋_GBK" w:cs="方正仿宋_GBK"/>
          <w:sz w:val="28"/>
          <w:szCs w:val="28"/>
        </w:rPr>
        <w:t>各市级部门及单位：</w:t>
      </w:r>
    </w:p>
    <w:p>
      <w:pPr>
        <w:pStyle w:val="4"/>
        <w:keepNext w:val="0"/>
        <w:keepLines w:val="0"/>
        <w:widowControl/>
        <w:suppressLineNumbers w:val="0"/>
        <w:wordWrap w:val="0"/>
        <w:ind w:left="0" w:firstLine="420"/>
      </w:pPr>
      <w:r>
        <w:rPr>
          <w:rFonts w:hint="eastAsia" w:ascii="方正仿宋_GBK" w:hAnsi="方正仿宋_GBK" w:eastAsia="方正仿宋_GBK" w:cs="方正仿宋_GBK"/>
          <w:sz w:val="28"/>
          <w:szCs w:val="28"/>
        </w:rPr>
        <w:t>为深化政府采购改革，扩大采购人自主权利，近日印发的《重庆市2019-2020年度市级政府集中采购目录及采购限额标准》将货物与服务类采购限额提高到了50万元，工程类采购限额提高到了100万元。为方便单位理解政策，简化操作程序，减少指标调整影响，现就有关事项说明如下：</w:t>
      </w:r>
    </w:p>
    <w:p>
      <w:pPr>
        <w:pStyle w:val="4"/>
        <w:keepNext w:val="0"/>
        <w:keepLines w:val="0"/>
        <w:widowControl/>
        <w:suppressLineNumbers w:val="0"/>
        <w:wordWrap w:val="0"/>
        <w:spacing w:line="600" w:lineRule="atLeast"/>
        <w:ind w:left="0" w:firstLine="555"/>
      </w:pPr>
      <w:r>
        <w:rPr>
          <w:rFonts w:hint="eastAsia" w:ascii="方正仿宋_GBK" w:hAnsi="方正仿宋_GBK" w:eastAsia="方正仿宋_GBK" w:cs="方正仿宋_GBK"/>
          <w:sz w:val="28"/>
          <w:szCs w:val="28"/>
        </w:rPr>
        <w:t>限额以下，不论是否在集采目录内的项目均不属于政府采购范围，由采购人自行实施购买。</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HYPERLINK "http://"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对已编制了2019年政府采购部门预算，且预算金额在新的限额标准以下的采购项目，采购人可采取以下方式实施：</w:t>
      </w:r>
    </w:p>
    <w:p>
      <w:pPr>
        <w:pStyle w:val="4"/>
        <w:keepNext w:val="0"/>
        <w:keepLines w:val="0"/>
        <w:widowControl/>
        <w:suppressLineNumbers w:val="0"/>
        <w:wordWrap w:val="0"/>
        <w:spacing w:line="600" w:lineRule="atLeast"/>
        <w:ind w:left="0" w:firstLine="420"/>
      </w:pPr>
      <w:r>
        <w:rPr>
          <w:rStyle w:val="7"/>
          <w:rFonts w:hint="eastAsia" w:ascii="方正仿宋_GBK" w:hAnsi="方正仿宋_GBK" w:eastAsia="方正仿宋_GBK" w:cs="方正仿宋_GBK"/>
          <w:sz w:val="28"/>
          <w:szCs w:val="28"/>
        </w:rPr>
        <w:t>一、不需要调整采购预算的项目</w:t>
      </w:r>
    </w:p>
    <w:p>
      <w:pPr>
        <w:pStyle w:val="4"/>
        <w:keepNext w:val="0"/>
        <w:keepLines w:val="0"/>
        <w:widowControl/>
        <w:suppressLineNumbers w:val="0"/>
        <w:wordWrap w:val="0"/>
        <w:spacing w:line="600" w:lineRule="atLeast"/>
        <w:ind w:left="0" w:firstLine="555"/>
      </w:pPr>
      <w:r>
        <w:rPr>
          <w:rFonts w:hint="eastAsia" w:ascii="方正仿宋_GBK" w:hAnsi="方正仿宋_GBK" w:eastAsia="方正仿宋_GBK" w:cs="方正仿宋_GBK"/>
          <w:sz w:val="28"/>
          <w:szCs w:val="28"/>
        </w:rPr>
        <w:t>1、采购项目能够合并且合并后的预算金额能够达到采购限额标准的，可合并采购，在政府采购管理系统按现有程序执行。</w:t>
      </w:r>
    </w:p>
    <w:p>
      <w:pPr>
        <w:pStyle w:val="4"/>
        <w:keepNext w:val="0"/>
        <w:keepLines w:val="0"/>
        <w:widowControl/>
        <w:suppressLineNumbers w:val="0"/>
        <w:wordWrap w:val="0"/>
        <w:spacing w:line="600" w:lineRule="atLeast"/>
        <w:ind w:left="0" w:firstLine="555"/>
      </w:pPr>
      <w:r>
        <w:rPr>
          <w:rFonts w:hint="eastAsia" w:ascii="方正仿宋_GBK" w:hAnsi="方正仿宋_GBK" w:eastAsia="方正仿宋_GBK" w:cs="方正仿宋_GBK"/>
          <w:sz w:val="28"/>
          <w:szCs w:val="28"/>
        </w:rPr>
        <w:t>2、采购项目不能合并的，单位可通过重庆市政府采购网上超市（含货物类超市和服务类超市）购买，网上超市不能购买的单位可自行购买。</w:t>
      </w:r>
    </w:p>
    <w:p>
      <w:pPr>
        <w:pStyle w:val="4"/>
        <w:keepNext w:val="0"/>
        <w:keepLines w:val="0"/>
        <w:widowControl/>
        <w:suppressLineNumbers w:val="0"/>
        <w:wordWrap w:val="0"/>
        <w:spacing w:line="600" w:lineRule="atLeast"/>
        <w:ind w:left="0" w:firstLine="555"/>
      </w:pPr>
      <w:r>
        <w:rPr>
          <w:rFonts w:hint="eastAsia" w:ascii="方正仿宋_GBK" w:hAnsi="方正仿宋_GBK" w:eastAsia="方正仿宋_GBK" w:cs="方正仿宋_GBK"/>
          <w:sz w:val="28"/>
          <w:szCs w:val="28"/>
        </w:rPr>
        <w:t>3、为便于指标核销，上述第2项情形仍须在政府采购管理系统内申报计划。在“建议采购方式”一栏选择“限额以下”明细选项。单位选择该明细选项后，计划将自动通过系统审核且不下达至代理机构。</w:t>
      </w:r>
    </w:p>
    <w:p>
      <w:pPr>
        <w:pStyle w:val="4"/>
        <w:keepNext w:val="0"/>
        <w:keepLines w:val="0"/>
        <w:widowControl/>
        <w:suppressLineNumbers w:val="0"/>
        <w:wordWrap w:val="0"/>
        <w:spacing w:line="600" w:lineRule="atLeast"/>
        <w:ind w:left="0" w:firstLine="555"/>
      </w:pPr>
      <w:r>
        <w:rPr>
          <w:rFonts w:hint="eastAsia" w:ascii="方正仿宋_GBK" w:hAnsi="方正仿宋_GBK" w:eastAsia="方正仿宋_GBK" w:cs="方正仿宋_GBK"/>
          <w:sz w:val="28"/>
          <w:szCs w:val="28"/>
        </w:rPr>
        <w:t>选择“限额以下”采购方式后，单位可在政府采购管理系统直接填报授权支付申请付款，不必进行合同备案。</w:t>
      </w:r>
    </w:p>
    <w:p>
      <w:pPr>
        <w:pStyle w:val="4"/>
        <w:keepNext w:val="0"/>
        <w:keepLines w:val="0"/>
        <w:widowControl/>
        <w:suppressLineNumbers w:val="0"/>
        <w:wordWrap w:val="0"/>
        <w:spacing w:line="600" w:lineRule="atLeast"/>
        <w:ind w:left="0" w:firstLine="555"/>
      </w:pPr>
      <w:r>
        <w:rPr>
          <w:rStyle w:val="7"/>
          <w:rFonts w:hint="eastAsia" w:ascii="方正仿宋_GBK" w:hAnsi="方正仿宋_GBK" w:eastAsia="方正仿宋_GBK" w:cs="方正仿宋_GBK"/>
          <w:sz w:val="28"/>
          <w:szCs w:val="28"/>
        </w:rPr>
        <w:t>二、需要调整采购预算的项目</w:t>
      </w:r>
    </w:p>
    <w:p>
      <w:pPr>
        <w:pStyle w:val="4"/>
        <w:keepNext w:val="0"/>
        <w:keepLines w:val="0"/>
        <w:widowControl/>
        <w:suppressLineNumbers w:val="0"/>
        <w:wordWrap w:val="0"/>
        <w:spacing w:line="600" w:lineRule="atLeast"/>
        <w:ind w:left="0" w:firstLine="555"/>
      </w:pPr>
      <w:r>
        <w:rPr>
          <w:rFonts w:hint="eastAsia" w:ascii="方正仿宋_GBK" w:hAnsi="方正仿宋_GBK" w:eastAsia="方正仿宋_GBK" w:cs="方正仿宋_GBK"/>
          <w:sz w:val="28"/>
          <w:szCs w:val="28"/>
        </w:rPr>
        <w:t>不能通过第一项方式处理而确需进行预算指标调整的项目，单位按现行预算指标调整程序处理。</w:t>
      </w:r>
    </w:p>
    <w:p>
      <w:pPr>
        <w:pStyle w:val="4"/>
        <w:keepNext w:val="0"/>
        <w:keepLines w:val="0"/>
        <w:widowControl/>
        <w:suppressLineNumbers w:val="0"/>
        <w:wordWrap w:val="0"/>
        <w:spacing w:line="600" w:lineRule="atLeast"/>
        <w:ind w:left="0" w:firstLine="555"/>
      </w:pPr>
      <w:r>
        <w:rPr>
          <w:rStyle w:val="7"/>
          <w:rFonts w:hint="eastAsia" w:ascii="方正仿宋_GBK" w:hAnsi="方正仿宋_GBK" w:eastAsia="方正仿宋_GBK" w:cs="方正仿宋_GBK"/>
          <w:sz w:val="28"/>
          <w:szCs w:val="28"/>
        </w:rPr>
        <w:t>三、其他事项</w:t>
      </w:r>
    </w:p>
    <w:p>
      <w:pPr>
        <w:pStyle w:val="4"/>
        <w:keepNext w:val="0"/>
        <w:keepLines w:val="0"/>
        <w:widowControl/>
        <w:suppressLineNumbers w:val="0"/>
        <w:wordWrap w:val="0"/>
        <w:spacing w:line="600" w:lineRule="atLeast"/>
        <w:ind w:left="0" w:firstLine="555"/>
      </w:pPr>
      <w:r>
        <w:rPr>
          <w:rFonts w:hint="eastAsia" w:ascii="方正仿宋_GBK" w:hAnsi="方正仿宋_GBK" w:eastAsia="方正仿宋_GBK" w:cs="方正仿宋_GBK"/>
          <w:sz w:val="28"/>
          <w:szCs w:val="28"/>
        </w:rPr>
        <w:t>上述操作仅限于2019年已编制政府采购部门预算的采购项目。单位在编制2020年政府采购部门预算时应严格依照《重庆市2019-2020年度市级政府集中采购目录及采购限额标准》要求执行。</w:t>
      </w:r>
    </w:p>
    <w:p>
      <w:pPr>
        <w:pStyle w:val="4"/>
        <w:keepNext w:val="0"/>
        <w:keepLines w:val="0"/>
        <w:widowControl/>
        <w:suppressLineNumbers w:val="0"/>
        <w:wordWrap w:val="0"/>
        <w:spacing w:line="600" w:lineRule="atLeast"/>
        <w:ind w:left="0" w:firstLine="555"/>
        <w:jc w:val="right"/>
      </w:pPr>
      <w:r>
        <w:rPr>
          <w:rFonts w:hint="eastAsia" w:ascii="方正仿宋_GBK" w:hAnsi="方正仿宋_GBK" w:eastAsia="方正仿宋_GBK" w:cs="方正仿宋_GBK"/>
          <w:sz w:val="28"/>
          <w:szCs w:val="28"/>
        </w:rPr>
        <w:t>重庆市政府采购处</w:t>
      </w:r>
    </w:p>
    <w:p>
      <w:pPr>
        <w:pStyle w:val="4"/>
        <w:keepNext w:val="0"/>
        <w:keepLines w:val="0"/>
        <w:widowControl/>
        <w:suppressLineNumbers w:val="0"/>
        <w:wordWrap w:val="0"/>
        <w:spacing w:line="600" w:lineRule="atLeast"/>
        <w:ind w:left="0" w:firstLine="555"/>
        <w:jc w:val="right"/>
      </w:pPr>
      <w:r>
        <w:rPr>
          <w:rFonts w:hint="eastAsia" w:ascii="方正仿宋_GBK" w:hAnsi="方正仿宋_GBK" w:eastAsia="方正仿宋_GBK" w:cs="方正仿宋_GBK"/>
          <w:sz w:val="28"/>
          <w:szCs w:val="28"/>
        </w:rPr>
        <w:t>2019年3月18日</w:t>
      </w:r>
    </w:p>
    <w:p>
      <w:pPr>
        <w:spacing w:line="600" w:lineRule="exact"/>
        <w:ind w:firstLine="280" w:firstLineChars="100"/>
        <w:rPr>
          <w:rFonts w:hint="eastAsia" w:ascii="方正仿宋_GBK"/>
          <w:sz w:val="28"/>
          <w:szCs w:val="28"/>
        </w:rPr>
      </w:pPr>
    </w:p>
    <w:sectPr>
      <w:footerReference r:id="rId3" w:type="default"/>
      <w:footerReference r:id="rId4" w:type="even"/>
      <w:pgSz w:w="11906" w:h="16838"/>
      <w:pgMar w:top="2098" w:right="1531" w:bottom="1984" w:left="1531" w:header="850" w:footer="1474" w:gutter="0"/>
      <w:cols w:space="425" w:num="1"/>
      <w:docGrid w:type="line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sz w:val="28"/>
      </w:rPr>
    </w:pPr>
    <w:r>
      <w:rPr>
        <w:rStyle w:val="8"/>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12</w:t>
    </w:r>
    <w:r>
      <w:rPr>
        <w:kern w:val="0"/>
        <w:sz w:val="28"/>
      </w:rPr>
      <w:fldChar w:fldCharType="end"/>
    </w:r>
    <w:r>
      <w:rPr>
        <w:kern w:val="0"/>
        <w:sz w:val="28"/>
      </w:rPr>
      <w:t xml:space="preserve"> </w:t>
    </w:r>
    <w:r>
      <w:rPr>
        <w:rStyle w:val="8"/>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rPr>
        <w:sz w:val="28"/>
      </w:rPr>
    </w:pPr>
    <w:r>
      <w:rPr>
        <w:rStyle w:val="8"/>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w:t>
    </w:r>
    <w:r>
      <w:rPr>
        <w:kern w:val="0"/>
        <w:sz w:val="28"/>
      </w:rPr>
      <w:fldChar w:fldCharType="end"/>
    </w:r>
    <w:r>
      <w:rPr>
        <w:kern w:val="0"/>
        <w:sz w:val="28"/>
      </w:rPr>
      <w:t xml:space="preserve"> </w:t>
    </w:r>
    <w:r>
      <w:rPr>
        <w:rStyle w:val="8"/>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64B"/>
    <w:rsid w:val="00CA4113"/>
    <w:rsid w:val="00D3164B"/>
    <w:rsid w:val="3C063F9A"/>
    <w:rsid w:val="4C484CC6"/>
    <w:rsid w:val="4C6D3472"/>
    <w:rsid w:val="515B7890"/>
    <w:rsid w:val="67316E7F"/>
    <w:rsid w:val="6DC6451A"/>
    <w:rsid w:val="77B545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styleId="2">
    <w:name w:val="heading 2"/>
    <w:basedOn w:val="1"/>
    <w:next w:val="1"/>
    <w:semiHidden/>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rPr>
  </w:style>
  <w:style w:type="character" w:styleId="8">
    <w:name w:val="page number"/>
    <w:basedOn w:val="6"/>
    <w:qFormat/>
    <w:uiPriority w:val="0"/>
  </w:style>
  <w:style w:type="character" w:customStyle="1" w:styleId="9">
    <w:name w:val="页脚 Char"/>
    <w:basedOn w:val="6"/>
    <w:link w:val="3"/>
    <w:qFormat/>
    <w:uiPriority w:val="0"/>
    <w:rPr>
      <w:rFonts w:ascii="Times New Roman" w:hAnsi="Times New Roman" w:eastAsia="方正仿宋_GBK" w:cs="Times New Roman"/>
      <w:sz w:val="1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681</Words>
  <Characters>3887</Characters>
  <Lines>32</Lines>
  <Paragraphs>9</Paragraphs>
  <TotalTime>2</TotalTime>
  <ScaleCrop>false</ScaleCrop>
  <LinksUpToDate>false</LinksUpToDate>
  <CharactersWithSpaces>4559</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2019-03-19T03:08:00Z</dcterms:created>
  <dc:creator>龚莉</dc:creator>
  <cp:lastModifiedBy>天涯倦龙</cp:lastModifiedBy>
  <dcterms:modified xsi:type="dcterms:W3CDTF">2019-04-23T08:00:23Z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